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D42217" w:rsidP="00A113B8">
      <w:pPr>
        <w:pStyle w:val="Paragraph"/>
      </w:pPr>
      <w:r>
        <w:t>This is an example of a nested list:</w:t>
      </w:r>
    </w:p>
    <w:p w:rsidR="00B83A4C" w:rsidRDefault="00384BE7" w:rsidP="00B83A4C">
      <w:pPr>
        <w:pStyle w:val="NumBulList1"/>
      </w:pPr>
      <w:r>
        <w:t>•</w:t>
      </w:r>
      <w:r>
        <w:tab/>
      </w:r>
      <w:r w:rsidR="00D42217">
        <w:t>Extrapyramidal dysfunction, including one or more of the following:</w:t>
      </w:r>
    </w:p>
    <w:p w:rsidR="00D42217" w:rsidRDefault="00384BE7" w:rsidP="00B83A4C">
      <w:pPr>
        <w:pStyle w:val="NumBulList2"/>
      </w:pPr>
      <w:r>
        <w:t>–</w:t>
      </w:r>
      <w:r>
        <w:tab/>
      </w:r>
      <w:r w:rsidR="00D42217">
        <w:t>Dystonia</w:t>
      </w:r>
    </w:p>
    <w:p w:rsidR="00D42217" w:rsidRDefault="006E0468" w:rsidP="00B83A4C">
      <w:pPr>
        <w:pStyle w:val="NumBulList2"/>
      </w:pPr>
      <w:r>
        <w:t>–</w:t>
      </w:r>
      <w:r w:rsidR="00384BE7">
        <w:tab/>
      </w:r>
      <w:r w:rsidR="00D42217">
        <w:t>Rigidity</w:t>
      </w:r>
    </w:p>
    <w:p w:rsidR="00D42217" w:rsidRDefault="00384BE7" w:rsidP="00B83A4C">
      <w:pPr>
        <w:pStyle w:val="NumBulList2"/>
      </w:pPr>
      <w:r>
        <w:t>–</w:t>
      </w:r>
      <w:r>
        <w:tab/>
      </w:r>
      <w:r w:rsidR="00D42217">
        <w:t>Choreoathetosis</w:t>
      </w:r>
    </w:p>
    <w:p w:rsidR="00B83A4C" w:rsidRDefault="00384BE7" w:rsidP="00B83A4C">
      <w:pPr>
        <w:pStyle w:val="NumBulList1"/>
      </w:pPr>
      <w:r>
        <w:t>•</w:t>
      </w:r>
      <w:r>
        <w:tab/>
      </w:r>
      <w:r w:rsidR="00D42217">
        <w:t>Onset</w:t>
      </w:r>
    </w:p>
    <w:p w:rsidR="001230E9" w:rsidRDefault="00384BE7" w:rsidP="00B83A4C">
      <w:pPr>
        <w:pStyle w:val="NumBulList2"/>
      </w:pPr>
      <w:r>
        <w:t>–</w:t>
      </w:r>
      <w:r>
        <w:tab/>
      </w:r>
      <w:r w:rsidR="00C815BA">
        <w:rPr>
          <w:b/>
        </w:rPr>
        <w:t>Classic form</w:t>
      </w:r>
    </w:p>
    <w:p w:rsidR="00D42217" w:rsidRDefault="00B83A4C" w:rsidP="00C815BA">
      <w:pPr>
        <w:pStyle w:val="List2Continued"/>
      </w:pPr>
      <w:r>
        <w:t>Usually in first decade of life</w:t>
      </w:r>
    </w:p>
    <w:p w:rsidR="00C815BA" w:rsidRDefault="00384BE7" w:rsidP="00B83A4C">
      <w:pPr>
        <w:pStyle w:val="NumBulList2"/>
        <w:rPr>
          <w:b/>
          <w:bCs/>
        </w:rPr>
      </w:pPr>
      <w:r>
        <w:lastRenderedPageBreak/>
        <w:t>–</w:t>
      </w:r>
      <w:r>
        <w:tab/>
      </w:r>
      <w:r w:rsidR="00C815BA">
        <w:rPr>
          <w:b/>
          <w:bCs/>
        </w:rPr>
        <w:t>Atypical form</w:t>
      </w:r>
    </w:p>
    <w:p w:rsidR="00D42217" w:rsidRDefault="00D42217" w:rsidP="00C815BA">
      <w:pPr>
        <w:pStyle w:val="List2Continued"/>
      </w:pPr>
      <w:r>
        <w:t>More commonly in the second or third decade of life</w:t>
      </w:r>
    </w:p>
    <w:p w:rsidR="00B83A4C" w:rsidRDefault="00384BE7" w:rsidP="00B83A4C">
      <w:pPr>
        <w:pStyle w:val="NumBulList1"/>
      </w:pPr>
      <w:r>
        <w:t>•</w:t>
      </w:r>
      <w:r>
        <w:tab/>
      </w:r>
      <w:r w:rsidR="00D42217">
        <w:t>Loss of ambulation</w:t>
      </w:r>
    </w:p>
    <w:p w:rsidR="00C815BA" w:rsidRDefault="00384BE7" w:rsidP="00B83A4C">
      <w:pPr>
        <w:pStyle w:val="NumBulList2"/>
        <w:rPr>
          <w:b/>
          <w:bCs/>
        </w:rPr>
      </w:pPr>
      <w:r>
        <w:t>–</w:t>
      </w:r>
      <w:r>
        <w:tab/>
      </w:r>
      <w:r w:rsidR="00D42217">
        <w:rPr>
          <w:b/>
          <w:bCs/>
        </w:rPr>
        <w:t>Classic form</w:t>
      </w:r>
    </w:p>
    <w:p w:rsidR="00D42217" w:rsidRDefault="00D42217" w:rsidP="00C815BA">
      <w:pPr>
        <w:pStyle w:val="List2Continued"/>
      </w:pPr>
      <w:r>
        <w:t>Often occurring within ten to 15 years of onset</w:t>
      </w:r>
    </w:p>
    <w:p w:rsidR="00C815BA" w:rsidRDefault="00384BE7" w:rsidP="00B83A4C">
      <w:pPr>
        <w:pStyle w:val="NumBulList2"/>
        <w:rPr>
          <w:b/>
          <w:bCs/>
        </w:rPr>
      </w:pPr>
      <w:r>
        <w:t>–</w:t>
      </w:r>
      <w:r>
        <w:tab/>
      </w:r>
      <w:r w:rsidR="00D42217">
        <w:rPr>
          <w:b/>
          <w:bCs/>
        </w:rPr>
        <w:t>Atypical form</w:t>
      </w:r>
    </w:p>
    <w:p w:rsidR="00D42217" w:rsidRDefault="00D42217" w:rsidP="00C815BA">
      <w:pPr>
        <w:pStyle w:val="List2Continued"/>
      </w:pPr>
      <w:r>
        <w:t>Often occurring within 15 to 40 years of onset</w:t>
      </w:r>
    </w:p>
    <w:p w:rsidR="00D42217" w:rsidRDefault="00FB2B9B" w:rsidP="00A113B8">
      <w:pPr>
        <w:pStyle w:val="Paragraph"/>
      </w:pPr>
      <w:r>
        <w:t>And then some more text.</w:t>
      </w:r>
    </w:p>
    <w:p w:rsidR="00FB2B9B" w:rsidRDefault="00FB2B9B" w:rsidP="000070FA">
      <w:pPr>
        <w:pStyle w:val="ListTitle"/>
      </w:pPr>
      <w:r>
        <w:t xml:space="preserve">List of countries that have won the </w:t>
      </w:r>
      <w:r w:rsidR="00CC0EA9">
        <w:t xml:space="preserve">FIFA </w:t>
      </w:r>
      <w:r>
        <w:t>World Cup</w:t>
      </w:r>
    </w:p>
    <w:p w:rsidR="00FB2B9B" w:rsidRDefault="00FB2B9B" w:rsidP="000070FA">
      <w:pPr>
        <w:pStyle w:val="UnnumberedList1"/>
      </w:pPr>
      <w:r>
        <w:t>Argentina</w:t>
      </w:r>
    </w:p>
    <w:p w:rsidR="00FB2B9B" w:rsidRDefault="00FB2B9B" w:rsidP="000070FA">
      <w:pPr>
        <w:pStyle w:val="UnnumberedList1"/>
      </w:pPr>
      <w:r>
        <w:t>Brazil</w:t>
      </w:r>
    </w:p>
    <w:p w:rsidR="00FB2B9B" w:rsidRDefault="00FB2B9B" w:rsidP="000070FA">
      <w:pPr>
        <w:pStyle w:val="UnnumberedList1"/>
      </w:pPr>
      <w:r>
        <w:t>England</w:t>
      </w:r>
    </w:p>
    <w:p w:rsidR="00FB2B9B" w:rsidRDefault="00FB2B9B" w:rsidP="000070FA">
      <w:pPr>
        <w:pStyle w:val="UnnumberedList1"/>
      </w:pPr>
      <w:r>
        <w:t>France</w:t>
      </w:r>
    </w:p>
    <w:p w:rsidR="00FB2B9B" w:rsidRDefault="00FB2B9B" w:rsidP="000070FA">
      <w:pPr>
        <w:pStyle w:val="UnnumberedList1"/>
      </w:pPr>
      <w:r>
        <w:t>Germany</w:t>
      </w:r>
      <w:r w:rsidR="00655C2A">
        <w:t xml:space="preserve"> (including West Germany)</w:t>
      </w:r>
    </w:p>
    <w:p w:rsidR="00655C2A" w:rsidRDefault="00655C2A" w:rsidP="000070FA">
      <w:pPr>
        <w:pStyle w:val="UnnumberedList1"/>
      </w:pPr>
      <w:r>
        <w:t>Italy</w:t>
      </w:r>
    </w:p>
    <w:p w:rsidR="00FB2B9B" w:rsidRDefault="00FB2B9B" w:rsidP="000070FA">
      <w:pPr>
        <w:pStyle w:val="UnnumberedList1"/>
      </w:pPr>
      <w:r>
        <w:t>Spain</w:t>
      </w:r>
    </w:p>
    <w:p w:rsidR="00FB2B9B" w:rsidRDefault="00FB2B9B" w:rsidP="000070FA">
      <w:pPr>
        <w:pStyle w:val="UnnumberedList1"/>
      </w:pPr>
      <w:r>
        <w:t>Uruguay</w:t>
      </w:r>
    </w:p>
    <w:p w:rsidR="00FB2B9B" w:rsidRDefault="00C76684" w:rsidP="00A113B8">
      <w:pPr>
        <w:pStyle w:val="Paragraph"/>
      </w:pPr>
      <w:r>
        <w:t>This is an example of the use of the Definition List style. In Einstein’s famous equation:</w:t>
      </w:r>
    </w:p>
    <w:p w:rsidR="00C76684" w:rsidRDefault="00C76684" w:rsidP="00C70F59">
      <w:pPr>
        <w:pStyle w:val="Equation"/>
      </w:pPr>
      <w:r w:rsidRPr="00C76684">
        <w:rPr>
          <w:position w:val="-6"/>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6" o:title=""/>
          </v:shape>
          <o:OLEObject Type="Embed" ProgID="Equation.DSMT4" ShapeID="_x0000_i1025" DrawAspect="Content" ObjectID="_1549981164" r:id="rId7"/>
        </w:object>
      </w:r>
    </w:p>
    <w:p w:rsidR="00C76684" w:rsidRDefault="00E96EBB" w:rsidP="00C70F59">
      <w:pPr>
        <w:pStyle w:val="ParagraphContinued"/>
      </w:pPr>
      <w:r>
        <w:t>the various terms are defined as:</w:t>
      </w:r>
    </w:p>
    <w:p w:rsidR="00C76684" w:rsidRDefault="00C76684" w:rsidP="00C70F59">
      <w:pPr>
        <w:pStyle w:val="DefinitionList"/>
      </w:pPr>
      <w:r>
        <w:t>E = energy</w:t>
      </w:r>
    </w:p>
    <w:p w:rsidR="00C76684" w:rsidRDefault="00C76684" w:rsidP="00C70F59">
      <w:pPr>
        <w:pStyle w:val="DefinitionList"/>
      </w:pPr>
      <w:r w:rsidRPr="00E96EBB">
        <w:rPr>
          <w:i/>
        </w:rPr>
        <w:t>m</w:t>
      </w:r>
      <w:r>
        <w:t xml:space="preserve"> = mass</w:t>
      </w:r>
    </w:p>
    <w:p w:rsidR="00C76684" w:rsidRDefault="00C76684" w:rsidP="00C70F59">
      <w:pPr>
        <w:pStyle w:val="DefinitionList"/>
      </w:pPr>
      <w:r w:rsidRPr="00E96EBB">
        <w:rPr>
          <w:i/>
        </w:rPr>
        <w:t>c</w:t>
      </w:r>
      <w:r>
        <w:t xml:space="preserve"> = the speed of light in a vacuum</w:t>
      </w:r>
    </w:p>
    <w:p w:rsidR="002251A0" w:rsidRDefault="002251A0" w:rsidP="00B1217B">
      <w:pPr>
        <w:pStyle w:val="GlossaryHead"/>
      </w:pPr>
      <w:r>
        <w:t>Glossary</w:t>
      </w:r>
    </w:p>
    <w:p w:rsidR="002251A0" w:rsidRDefault="002251A0" w:rsidP="00B1217B">
      <w:pPr>
        <w:pStyle w:val="GlossarySection"/>
      </w:pPr>
      <w:r>
        <w:t>1. Tab separating term and definition</w:t>
      </w:r>
    </w:p>
    <w:p w:rsidR="002251A0" w:rsidRDefault="002251A0" w:rsidP="00B1217B">
      <w:pPr>
        <w:pStyle w:val="GlossaryEntry"/>
      </w:pPr>
      <w:r>
        <w:t>ExPEC</w:t>
      </w:r>
      <w:r>
        <w:tab/>
        <w:t>Extra-intestinal pathogenic Escherichia coli</w:t>
      </w:r>
    </w:p>
    <w:p w:rsidR="002251A0" w:rsidRDefault="002251A0" w:rsidP="00B1217B">
      <w:pPr>
        <w:pStyle w:val="GlossaryEntry"/>
      </w:pPr>
      <w:r>
        <w:t>SSTI</w:t>
      </w:r>
      <w:r>
        <w:tab/>
        <w:t>Skin and soft-tissue infection</w:t>
      </w:r>
    </w:p>
    <w:p w:rsidR="002251A0" w:rsidRDefault="002251A0" w:rsidP="00B1217B">
      <w:pPr>
        <w:pStyle w:val="GlossaryEntry"/>
      </w:pPr>
      <w:r>
        <w:t>UTI</w:t>
      </w:r>
      <w:r>
        <w:tab/>
        <w:t>Urin</w:t>
      </w:r>
      <w:bookmarkStart w:id="0" w:name="_GoBack"/>
      <w:bookmarkEnd w:id="0"/>
      <w:r>
        <w:t>ary tract infection</w:t>
      </w:r>
    </w:p>
    <w:p w:rsidR="002251A0" w:rsidRDefault="00A77DAC" w:rsidP="00B1217B">
      <w:pPr>
        <w:pStyle w:val="GlossarySection"/>
      </w:pPr>
      <w:r>
        <w:t>2</w:t>
      </w:r>
      <w:r w:rsidR="002251A0">
        <w:t>. Colon, equal sign, or other "strong" separator separating term and definition</w:t>
      </w:r>
    </w:p>
    <w:p w:rsidR="002251A0" w:rsidRDefault="002251A0" w:rsidP="00B1217B">
      <w:pPr>
        <w:pStyle w:val="GlossaryEntry"/>
      </w:pPr>
      <w:r>
        <w:t>ExPEC: Extra-intestinal pathogenic Escherichia coli</w:t>
      </w:r>
    </w:p>
    <w:p w:rsidR="002251A0" w:rsidRDefault="002251A0" w:rsidP="00B1217B">
      <w:pPr>
        <w:pStyle w:val="GlossaryEntry"/>
      </w:pPr>
      <w:r>
        <w:t>SSTI: Skin and soft-tissue infection</w:t>
      </w:r>
    </w:p>
    <w:p w:rsidR="00C76684" w:rsidRDefault="002251A0" w:rsidP="00B1217B">
      <w:pPr>
        <w:pStyle w:val="GlossaryEntry"/>
      </w:pPr>
      <w:r>
        <w:t>UTI: Urinary tract infection</w:t>
      </w:r>
    </w:p>
    <w:p w:rsidR="009411AE" w:rsidRDefault="009411AE" w:rsidP="00B1217B">
      <w:pPr>
        <w:pStyle w:val="GlossaryEntry"/>
      </w:pPr>
    </w:p>
    <w:sectPr w:rsidR="00941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4"/>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070FA"/>
    <w:rsid w:val="00013314"/>
    <w:rsid w:val="000A1990"/>
    <w:rsid w:val="001230E9"/>
    <w:rsid w:val="001319EF"/>
    <w:rsid w:val="0019184D"/>
    <w:rsid w:val="001A747E"/>
    <w:rsid w:val="00224D31"/>
    <w:rsid w:val="002251A0"/>
    <w:rsid w:val="00245BCC"/>
    <w:rsid w:val="00246BB9"/>
    <w:rsid w:val="00256C04"/>
    <w:rsid w:val="002909D8"/>
    <w:rsid w:val="00384BE7"/>
    <w:rsid w:val="004D6C7E"/>
    <w:rsid w:val="00523FC4"/>
    <w:rsid w:val="005A2411"/>
    <w:rsid w:val="005D4488"/>
    <w:rsid w:val="006237DC"/>
    <w:rsid w:val="00655C2A"/>
    <w:rsid w:val="00670BC8"/>
    <w:rsid w:val="006A4EE0"/>
    <w:rsid w:val="006E0468"/>
    <w:rsid w:val="00782D3C"/>
    <w:rsid w:val="007A69C7"/>
    <w:rsid w:val="007A7541"/>
    <w:rsid w:val="00870253"/>
    <w:rsid w:val="008834EF"/>
    <w:rsid w:val="009411AE"/>
    <w:rsid w:val="00A07FC6"/>
    <w:rsid w:val="00A113B8"/>
    <w:rsid w:val="00A32FF0"/>
    <w:rsid w:val="00A46ED9"/>
    <w:rsid w:val="00A55BE6"/>
    <w:rsid w:val="00A74C95"/>
    <w:rsid w:val="00A77DAC"/>
    <w:rsid w:val="00AD2248"/>
    <w:rsid w:val="00B04061"/>
    <w:rsid w:val="00B1217B"/>
    <w:rsid w:val="00B524CC"/>
    <w:rsid w:val="00B752F8"/>
    <w:rsid w:val="00B83A4C"/>
    <w:rsid w:val="00BF0899"/>
    <w:rsid w:val="00C3150D"/>
    <w:rsid w:val="00C70F59"/>
    <w:rsid w:val="00C76684"/>
    <w:rsid w:val="00C815BA"/>
    <w:rsid w:val="00CB4325"/>
    <w:rsid w:val="00CC0EA9"/>
    <w:rsid w:val="00D42217"/>
    <w:rsid w:val="00D456FA"/>
    <w:rsid w:val="00DA3B29"/>
    <w:rsid w:val="00E73136"/>
    <w:rsid w:val="00E96EBB"/>
    <w:rsid w:val="00EC5EE5"/>
    <w:rsid w:val="00ED09E6"/>
    <w:rsid w:val="00EE1523"/>
    <w:rsid w:val="00EE1DF7"/>
    <w:rsid w:val="00F43068"/>
    <w:rsid w:val="00F47F40"/>
    <w:rsid w:val="00FB2B9B"/>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2017-03-02T17:32:00Z</dcterms:created>
  <dcterms:modified xsi:type="dcterms:W3CDTF">2017-03-02T17:33:00Z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MTWinEqns">
    <vt:bool>true</vt:bool>
  </property>
</Properties>
</file>